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8"/>
        <w:tblpPr w:leftFromText="187" w:rightFromText="187" w:vertAnchor="page" w:horzAnchor="margin" w:tblpXSpec="center" w:tblpY="4411"/>
        <w:tblW w:w="4000" w:type="pct"/>
        <w:tblInd w:w="0" w:type="dxa"/>
        <w:tblBorders>
          <w:top w:val="none" w:color="auto" w:sz="0" w:space="0"/>
          <w:left w:val="single" w:color="4F81BD" w:sz="18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8"/>
      </w:tblGrid>
      <w:tr>
        <w:tblPrEx>
          <w:tblBorders>
            <w:top w:val="none" w:color="auto" w:sz="0" w:space="0"/>
            <w:left w:val="single" w:color="4F81BD" w:sz="1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758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>
            <w:pPr>
              <w:pStyle w:val="14"/>
              <w:rPr>
                <w:rFonts w:ascii="Cambria" w:hAnsi="Cambria"/>
              </w:rPr>
            </w:pPr>
          </w:p>
        </w:tc>
      </w:tr>
      <w:tr>
        <w:tblPrEx>
          <w:tblBorders>
            <w:top w:val="none" w:color="auto" w:sz="0" w:space="0"/>
            <w:left w:val="single" w:color="4F81BD" w:sz="1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8" w:type="dxa"/>
          </w:tcPr>
          <w:p>
            <w:pPr>
              <w:pStyle w:val="14"/>
              <w:jc w:val="center"/>
              <w:rPr>
                <w:rFonts w:eastAsia="新宋体"/>
                <w:b/>
                <w:bCs/>
                <w:sz w:val="48"/>
                <w:szCs w:val="48"/>
              </w:rPr>
            </w:pPr>
            <w:r>
              <w:rPr>
                <w:rFonts w:hint="eastAsia" w:eastAsia="新宋体"/>
                <w:b/>
                <w:bCs/>
                <w:sz w:val="48"/>
                <w:szCs w:val="48"/>
              </w:rPr>
              <w:t xml:space="preserve"> 35k</w:t>
            </w:r>
            <w:r>
              <w:rPr>
                <w:rFonts w:hint="eastAsia" w:eastAsia="新宋体"/>
                <w:b/>
                <w:bCs/>
                <w:sz w:val="48"/>
                <w:szCs w:val="48"/>
                <w:lang w:val="en-US" w:eastAsia="zh-CN"/>
              </w:rPr>
              <w:t>12</w:t>
            </w:r>
            <w:r>
              <w:rPr>
                <w:rFonts w:hint="eastAsia" w:eastAsia="新宋体"/>
                <w:b/>
                <w:bCs/>
                <w:sz w:val="48"/>
                <w:szCs w:val="48"/>
              </w:rPr>
              <w:t>00W标准型缝纫机芯</w:t>
            </w:r>
          </w:p>
        </w:tc>
      </w:tr>
      <w:tr>
        <w:tblPrEx>
          <w:tblBorders>
            <w:top w:val="none" w:color="auto" w:sz="0" w:space="0"/>
            <w:left w:val="single" w:color="4F81BD" w:sz="1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8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>
            <w:pPr>
              <w:pStyle w:val="14"/>
              <w:jc w:val="center"/>
              <w:rPr>
                <w:rFonts w:ascii="Times New Roman" w:hAnsi="Times New Roman" w:eastAsia="新宋体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新宋体"/>
                <w:b/>
                <w:bCs/>
                <w:kern w:val="2"/>
                <w:sz w:val="32"/>
                <w:szCs w:val="32"/>
              </w:rPr>
              <w:t>（V</w:t>
            </w:r>
            <w:r>
              <w:rPr>
                <w:rFonts w:ascii="Times New Roman" w:hAnsi="Times New Roman" w:eastAsia="新宋体"/>
                <w:b/>
                <w:bCs/>
                <w:kern w:val="2"/>
                <w:sz w:val="32"/>
                <w:szCs w:val="32"/>
              </w:rPr>
              <w:t>9.1</w:t>
            </w:r>
            <w:r>
              <w:rPr>
                <w:rFonts w:hint="eastAsia" w:ascii="Times New Roman" w:hAnsi="Times New Roman" w:eastAsia="新宋体"/>
                <w:b/>
                <w:bCs/>
                <w:kern w:val="2"/>
                <w:sz w:val="32"/>
                <w:szCs w:val="32"/>
              </w:rPr>
              <w:t>电源）</w:t>
            </w:r>
          </w:p>
          <w:p>
            <w:pPr>
              <w:pStyle w:val="14"/>
              <w:jc w:val="center"/>
              <w:rPr>
                <w:rFonts w:ascii="Times New Roman" w:hAnsi="Times New Roman" w:eastAsia="新宋体"/>
                <w:b/>
                <w:bCs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新宋体"/>
                <w:b/>
                <w:bCs/>
                <w:kern w:val="2"/>
                <w:sz w:val="32"/>
                <w:szCs w:val="32"/>
              </w:rPr>
              <w:t>使用说明书</w:t>
            </w:r>
          </w:p>
          <w:p>
            <w:pPr>
              <w:pStyle w:val="14"/>
              <w:jc w:val="center"/>
              <w:rPr>
                <w:rFonts w:ascii="Cambria" w:hAnsi="Cambria"/>
              </w:rPr>
            </w:pPr>
            <w:r>
              <w:rPr>
                <w:rFonts w:hint="eastAsia" w:ascii="Times New Roman" w:hAnsi="Times New Roman" w:eastAsia="新宋体"/>
                <w:b/>
                <w:bCs/>
                <w:kern w:val="2"/>
                <w:sz w:val="32"/>
                <w:szCs w:val="32"/>
              </w:rPr>
              <w:t>20</w:t>
            </w:r>
            <w:r>
              <w:rPr>
                <w:rFonts w:ascii="Times New Roman" w:hAnsi="Times New Roman" w:eastAsia="新宋体"/>
                <w:b/>
                <w:bCs/>
                <w:kern w:val="2"/>
                <w:sz w:val="32"/>
                <w:szCs w:val="32"/>
              </w:rPr>
              <w:t>21</w:t>
            </w:r>
            <w:r>
              <w:rPr>
                <w:rFonts w:hint="eastAsia" w:ascii="Times New Roman" w:hAnsi="Times New Roman" w:eastAsia="新宋体"/>
                <w:b/>
                <w:bCs/>
                <w:kern w:val="2"/>
                <w:sz w:val="32"/>
                <w:szCs w:val="32"/>
              </w:rPr>
              <w:t>版</w:t>
            </w:r>
          </w:p>
        </w:tc>
      </w:tr>
    </w:tbl>
    <w:p/>
    <w:tbl>
      <w:tblPr>
        <w:tblStyle w:val="8"/>
        <w:tblpPr w:leftFromText="187" w:rightFromText="187" w:horzAnchor="margin" w:tblpXSpec="center" w:tblpYSpec="bottom"/>
        <w:tblW w:w="4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>
            <w:pPr>
              <w:pStyle w:val="14"/>
              <w:rPr>
                <w:color w:val="4F81BD"/>
              </w:rPr>
            </w:pPr>
          </w:p>
          <w:p>
            <w:pPr>
              <w:pStyle w:val="14"/>
              <w:rPr>
                <w:color w:val="4F81BD"/>
              </w:rPr>
            </w:pPr>
          </w:p>
        </w:tc>
      </w:tr>
    </w:tbl>
    <w:p/>
    <w:p>
      <w:pPr>
        <w:rPr>
          <w:rFonts w:eastAsia="新宋体"/>
          <w:b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rPr>
          <w:rFonts w:eastAsia="新宋体"/>
        </w:rPr>
      </w:pPr>
    </w:p>
    <w:p>
      <w:pPr>
        <w:jc w:val="center"/>
        <w:rPr>
          <w:rFonts w:eastAsia="新宋体"/>
          <w:sz w:val="52"/>
        </w:rPr>
      </w:pP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华文新魏" w:eastAsia="华文新魏"/>
          <w:bCs/>
          <w:color w:val="FF0000"/>
          <w:sz w:val="32"/>
          <w:szCs w:val="32"/>
        </w:rPr>
        <w:br w:type="page"/>
      </w:r>
    </w:p>
    <w:p>
      <w:pPr>
        <w:pStyle w:val="2"/>
        <w:rPr>
          <w:sz w:val="30"/>
        </w:rPr>
      </w:pPr>
      <w:bookmarkStart w:id="0" w:name="_Toc272156742"/>
      <w:bookmarkStart w:id="1" w:name="_Toc291572115"/>
      <w:r>
        <w:rPr>
          <w:rFonts w:hint="eastAsia"/>
          <w:sz w:val="30"/>
        </w:rPr>
        <w:t>前言</w:t>
      </w:r>
      <w:bookmarkEnd w:id="0"/>
      <w:bookmarkEnd w:id="1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/>
          <w:sz w:val="24"/>
          <w:szCs w:val="24"/>
        </w:rPr>
        <w:t>非常感谢你认可，选中了我公司生产的超声波无缝缝纫机芯。</w:t>
      </w:r>
      <w:r>
        <w:rPr>
          <w:rFonts w:hint="eastAsia" w:ascii="宋体" w:hAnsi="宋体"/>
          <w:sz w:val="24"/>
        </w:rPr>
        <w:t>我公司是大功率超声波换能器制造商，我们致力于向客户提供服务。为使我公司的产品能发挥效能，使用前请务必细读使用说明书。</w:t>
      </w:r>
    </w:p>
    <w:p>
      <w:pPr>
        <w:pStyle w:val="2"/>
        <w:rPr>
          <w:sz w:val="30"/>
        </w:rPr>
      </w:pPr>
      <w:r>
        <w:rPr>
          <w:rFonts w:hint="eastAsia"/>
          <w:sz w:val="30"/>
        </w:rPr>
        <w:t>概述</w:t>
      </w:r>
    </w:p>
    <w:p>
      <w:pPr>
        <w:spacing w:line="480" w:lineRule="exact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超声波径向发射系统由35k超声波纵向振动换能器，第一节变幅杆，圆盘型发射头，第二节变幅杆，配套</w:t>
      </w:r>
      <w:r>
        <w:rPr>
          <w:rFonts w:hint="eastAsia" w:ascii="Arial" w:hAnsi="Arial"/>
          <w:color w:val="000000"/>
          <w:sz w:val="24"/>
          <w:szCs w:val="24"/>
        </w:rPr>
        <w:t>专用</w:t>
      </w:r>
      <w:r>
        <w:rPr>
          <w:rFonts w:hint="eastAsia"/>
          <w:sz w:val="24"/>
          <w:szCs w:val="24"/>
        </w:rPr>
        <w:t>驱动电源构成。超声波纵向振动换能器，第一节变幅杆，圆盘型发射头，第二节变幅杆之间用中心螺栓连接。它的工作原理是超声波驱动电源将市电转换成高频高电压交流电流，输给超声波换能器。超声波换能器其实就相当于一个能量转换器件，它能将输入的电能转换成机械能，即超声波。其表现形式是换能器在纵向作来回伸缩运动。伸缩运动的频率等同于驱动电源供出的交流电流频率，即35k，伸缩的位移量在几微米左右。变幅杆的作用一是固定整个超声波振动系统，二是将换能器的输出振幅放大，传递给发射头。发射头一方面进一步放大振幅，另一方面将纵向伸缩振动转换成径向伸缩振动。同时它具有不影响原有设备工作、安装使用方便，体积小，能耗低等特点。</w:t>
      </w:r>
    </w:p>
    <w:p>
      <w:pPr>
        <w:ind w:firstLine="435"/>
      </w:pPr>
    </w:p>
    <w:p>
      <w:pPr>
        <w:ind w:firstLine="435"/>
      </w:pPr>
    </w:p>
    <w:p>
      <w:pPr>
        <w:ind w:firstLine="435"/>
      </w:pPr>
    </w:p>
    <w:p>
      <w:pPr>
        <w:ind w:firstLine="435"/>
      </w:pPr>
    </w:p>
    <w:p>
      <w:pPr>
        <w:ind w:firstLine="435"/>
      </w:pPr>
    </w:p>
    <w:p>
      <w:pPr>
        <w:ind w:firstLine="435"/>
      </w:pPr>
    </w:p>
    <w:p/>
    <w:p/>
    <w:p/>
    <w:p/>
    <w:p>
      <w:pPr>
        <w:spacing w:line="360" w:lineRule="auto"/>
        <w:ind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用户收到产品后，请先打开包装。检查控制面板、机器表面，查看有无破损。检查运货过程中有无配件的松动。若有破损，立即通知运输公司。为便于调查，请保管好包装材料，保持原状。</w:t>
      </w:r>
    </w:p>
    <w:p>
      <w:pPr>
        <w:pStyle w:val="2"/>
        <w:rPr>
          <w:sz w:val="30"/>
        </w:rPr>
      </w:pPr>
      <w:r>
        <w:rPr>
          <w:rFonts w:hint="eastAsia"/>
          <w:sz w:val="30"/>
        </w:rPr>
        <w:t>一、产品组成：</w:t>
      </w:r>
    </w:p>
    <w:p>
      <w:pPr>
        <w:ind w:firstLine="180"/>
      </w:pPr>
      <w:r>
        <w:pict>
          <v:shape id="_x0000_s1067" o:spid="_x0000_s1067" o:spt="202" type="#_x0000_t202" style="position:absolute;left:0pt;margin-left:117pt;margin-top:251.55pt;height:39pt;width:189pt;z-index:251686912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黑体" w:eastAsia="黑体"/>
                      <w:sz w:val="28"/>
                      <w:szCs w:val="28"/>
                    </w:rPr>
                  </w:pPr>
                  <w:r>
                    <w:rPr>
                      <w:rFonts w:hint="eastAsia" w:ascii="黑体" w:eastAsia="黑体"/>
                      <w:sz w:val="28"/>
                      <w:szCs w:val="28"/>
                    </w:rPr>
                    <w:t>图一：35K超声波径向发射系统图</w:t>
                  </w:r>
                </w:p>
              </w:txbxContent>
            </v:textbox>
          </v:shape>
        </w:pict>
      </w:r>
      <w:r>
        <w:drawing>
          <wp:inline distT="0" distB="0" distL="0" distR="0">
            <wp:extent cx="5420360" cy="3457575"/>
            <wp:effectExtent l="19050" t="0" r="8768" b="0"/>
            <wp:docPr id="7" name="图片 6" descr="无标题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无标题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482" cy="345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80"/>
      </w:pPr>
    </w:p>
    <w:p>
      <w:pPr>
        <w:ind w:firstLine="180"/>
      </w:pPr>
    </w:p>
    <w:p>
      <w:pPr>
        <w:ind w:left="525" w:leftChars="250"/>
      </w:pPr>
      <w:r>
        <w:rPr>
          <w:rFonts w:hint="eastAsia"/>
        </w:rPr>
        <w:t xml:space="preserve">1.主机  2.连接电缆线  3.外接启动开关   4.驱动电源    </w:t>
      </w:r>
    </w:p>
    <w:p/>
    <w:p>
      <w:pPr>
        <w:ind w:firstLine="420" w:firstLineChars="200"/>
        <w:jc w:val="center"/>
      </w:pPr>
      <w:r>
        <w:drawing>
          <wp:inline distT="0" distB="0" distL="114300" distR="114300">
            <wp:extent cx="4114800" cy="2127250"/>
            <wp:effectExtent l="0" t="0" r="0" b="635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183255" cy="1710690"/>
            <wp:effectExtent l="0" t="0" r="17145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83255" cy="171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华文细黑" w:hAnsi="华文细黑" w:eastAsia="华文细黑"/>
        </w:rPr>
      </w:pPr>
      <w:r>
        <w:rPr>
          <w:rFonts w:hint="eastAsia" w:ascii="黑体" w:eastAsia="黑体"/>
          <w:szCs w:val="21"/>
        </w:rPr>
        <w:t>图二：外形尺寸图</w:t>
      </w:r>
    </w:p>
    <w:p>
      <w:pPr>
        <w:ind w:firstLine="420" w:firstLineChars="200"/>
        <w:rPr>
          <w:rFonts w:ascii="华文细黑" w:hAnsi="华文细黑" w:eastAsia="华文细黑"/>
        </w:rPr>
      </w:pPr>
      <w:r>
        <w:rPr>
          <w:rFonts w:hint="eastAsia" w:ascii="华文细黑" w:hAnsi="华文细黑" w:eastAsia="华文细黑"/>
        </w:rPr>
        <w:t xml:space="preserve">                        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超声波振动源（驱动电源）：把50-60Hz的市电转化为高功率的高频率（35kHz）电源，提供给换能器。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换能器：把高频率电能转化为机械振动能。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变幅杆：联接并固定换能器与工具头，将换能器之振幅放大后传送到工具头。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发射头（飞盘）：把机械能和压力传至布料，同时也有振幅放大的功能。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连接螺栓：将以上各组件紧密地连接。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pStyle w:val="2"/>
        <w:rPr>
          <w:sz w:val="30"/>
        </w:rPr>
      </w:pPr>
      <w:r>
        <w:rPr>
          <w:rFonts w:hint="eastAsia"/>
          <w:sz w:val="30"/>
        </w:rPr>
        <w:t>二、技术参数：</w:t>
      </w:r>
    </w:p>
    <w:p>
      <w:pPr>
        <w:pStyle w:val="13"/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发射头表面硬度HRC56以上。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Max功率:</w:t>
      </w:r>
      <w:r>
        <w:rPr>
          <w:rFonts w:hint="eastAsia" w:ascii="宋体" w:hAnsi="宋体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sz w:val="24"/>
          <w:szCs w:val="24"/>
        </w:rPr>
        <w:t>00W。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频率跟踪范围：设计谐振频率35±0.5KHz。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飞盘径向跳动:≤0.02mm。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最大焊接宽度</w:t>
      </w:r>
      <w:r>
        <w:rPr>
          <w:rFonts w:hint="eastAsia" w:ascii="宋体" w:hAnsi="宋体"/>
          <w:sz w:val="24"/>
          <w:szCs w:val="24"/>
        </w:rPr>
        <w:t>：12mm</w:t>
      </w:r>
      <w:bookmarkStart w:id="2" w:name="_GoBack"/>
      <w:bookmarkEnd w:id="2"/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飞盘直径：1</w:t>
      </w:r>
      <w:r>
        <w:rPr>
          <w:rFonts w:ascii="宋体" w:hAnsi="宋体"/>
          <w:sz w:val="24"/>
          <w:szCs w:val="24"/>
        </w:rPr>
        <w:t>06</w:t>
      </w:r>
      <w:r>
        <w:rPr>
          <w:rFonts w:hint="eastAsia" w:ascii="宋体" w:hAnsi="宋体"/>
          <w:sz w:val="24"/>
          <w:szCs w:val="24"/>
        </w:rPr>
        <w:t>mm</w:t>
      </w:r>
    </w:p>
    <w:p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</w:rPr>
        <w:t>驱动电源型号</w:t>
      </w:r>
      <w:r>
        <w:rPr>
          <w:rFonts w:hint="eastAsia" w:ascii="宋体" w:hAnsi="宋体"/>
        </w:rPr>
        <w:t>：</w:t>
      </w:r>
      <w:r>
        <w:rPr>
          <w:rFonts w:hint="eastAsia" w:ascii="宋体" w:hAnsi="宋体"/>
          <w:sz w:val="24"/>
        </w:rPr>
        <w:t>V9.1型。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供电电源: 220V，50HZ，10A。</w:t>
      </w:r>
    </w:p>
    <w:p>
      <w:pPr>
        <w:spacing w:line="360" w:lineRule="auto"/>
        <w:rPr>
          <w:rFonts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</w:rPr>
        <w:t>同步</w:t>
      </w:r>
      <w:r>
        <w:rPr>
          <w:rFonts w:ascii="宋体" w:hAnsi="宋体"/>
          <w:sz w:val="24"/>
        </w:rPr>
        <w:t>带轮：</w:t>
      </w:r>
      <w:r>
        <w:rPr>
          <w:rFonts w:hint="eastAsia" w:ascii="宋体" w:hAnsi="宋体"/>
          <w:sz w:val="24"/>
        </w:rPr>
        <w:t>8</w:t>
      </w:r>
      <w:r>
        <w:rPr>
          <w:rFonts w:ascii="宋体" w:hAnsi="宋体"/>
          <w:sz w:val="24"/>
        </w:rPr>
        <w:t>M-29</w:t>
      </w: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</w:rPr>
        <w:t>宽）</w:t>
      </w:r>
    </w:p>
    <w:p>
      <w:pPr>
        <w:pStyle w:val="2"/>
        <w:rPr>
          <w:sz w:val="30"/>
        </w:rPr>
      </w:pPr>
      <w:r>
        <w:rPr>
          <w:rFonts w:hint="eastAsia"/>
          <w:sz w:val="30"/>
        </w:rPr>
        <w:t>三、工作环境：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室内使用，湿度：</w:t>
      </w:r>
      <w:r>
        <w:rPr>
          <w:sz w:val="24"/>
          <w:szCs w:val="24"/>
        </w:rPr>
        <w:t>≤</w:t>
      </w:r>
      <w:r>
        <w:rPr>
          <w:rFonts w:hint="eastAsia"/>
          <w:sz w:val="24"/>
          <w:szCs w:val="24"/>
        </w:rPr>
        <w:t>85%RH；  环境温度：0℃~40℃。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机器四周要有充分的空间，不小于150mm左右，以便散热和插拔航空插头。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黑体字部分极为重要，请一定遵照执行，否则极易损坏机器或引发事故。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在发热部件（圆盘发射头）旁边安装足够的散热风扇对着吹，必须有充分冷却。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听到任何异响或指示电表异常升高，请立即先关掉电源，再查找故障原因。</w:t>
      </w:r>
    </w:p>
    <w:p>
      <w:pPr>
        <w:pStyle w:val="2"/>
        <w:rPr>
          <w:sz w:val="30"/>
        </w:rPr>
      </w:pPr>
      <w:r>
        <w:rPr>
          <w:rFonts w:hint="eastAsia"/>
          <w:sz w:val="30"/>
        </w:rPr>
        <w:t>四、电源开机调试：</w:t>
      </w:r>
    </w:p>
    <w:p>
      <w:pPr>
        <w:pStyle w:val="4"/>
        <w:spacing w:before="312" w:beforeLines="100" w:line="360" w:lineRule="auto"/>
        <w:ind w:left="-540" w:leftChars="-257" w:firstLine="539"/>
        <w:rPr>
          <w:b/>
        </w:rPr>
      </w:pPr>
      <w:r>
        <w:rPr>
          <w:rFonts w:hint="eastAsia"/>
          <w:b/>
        </w:rPr>
        <w:t>警告：电源连接前，先要确认开关是否OFF(0)。为防止电击，振动源要用接地的电源。</w:t>
      </w:r>
    </w:p>
    <w:p>
      <w:pPr>
        <w:pStyle w:val="4"/>
        <w:spacing w:before="312" w:beforeLines="100" w:line="360" w:lineRule="auto"/>
        <w:ind w:left="-540" w:leftChars="-257" w:firstLine="539"/>
        <w:rPr>
          <w:b/>
        </w:rPr>
      </w:pPr>
      <w:r>
        <w:rPr>
          <w:rFonts w:hint="eastAsia"/>
          <w:b/>
        </w:rPr>
        <w:t>电源的操作界面</w:t>
      </w:r>
    </w:p>
    <w:p>
      <w:pPr>
        <w:spacing w:line="360" w:lineRule="auto"/>
        <w:ind w:firstLine="420" w:firstLineChars="200"/>
        <w:jc w:val="center"/>
        <w:rPr>
          <w:bCs/>
          <w:sz w:val="24"/>
        </w:rPr>
      </w:pPr>
      <w:r>
        <w:drawing>
          <wp:inline distT="0" distB="0" distL="114300" distR="114300">
            <wp:extent cx="3913505" cy="2767330"/>
            <wp:effectExtent l="0" t="0" r="10795" b="13970"/>
            <wp:docPr id="6" name="图片 4" descr="微信图片_2021022309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微信图片_2021022309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3505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line="360" w:lineRule="auto"/>
        <w:ind w:left="-540" w:leftChars="-257" w:firstLine="540"/>
        <w:jc w:val="center"/>
        <w:rPr>
          <w:b/>
        </w:rPr>
      </w:pPr>
      <w:r>
        <w:rPr>
          <w:rFonts w:hint="eastAsia"/>
          <w:b/>
        </w:rPr>
        <w:t>图1 主界面</w:t>
      </w:r>
    </w:p>
    <w:p>
      <w:pPr>
        <w:pStyle w:val="4"/>
        <w:spacing w:before="312" w:beforeLines="100" w:line="360" w:lineRule="auto"/>
        <w:ind w:left="-540" w:leftChars="-257" w:firstLine="539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按键操作说明：</w:t>
      </w:r>
    </w:p>
    <w:p>
      <w:pPr>
        <w:pStyle w:val="4"/>
        <w:spacing w:line="360" w:lineRule="auto"/>
        <w:ind w:left="-540" w:leftChars="-257" w:firstLine="54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左键/SWEEP</w:t>
      </w:r>
      <w:r>
        <w:rPr>
          <w:rFonts w:ascii="Times New Roman" w:hAnsi="Times New Roman"/>
          <w:sz w:val="24"/>
          <w:szCs w:val="24"/>
        </w:rPr>
        <w:t xml:space="preserve">： </w:t>
      </w:r>
      <w:r>
        <w:rPr>
          <w:rFonts w:hint="eastAsia" w:ascii="Times New Roman" w:hAnsi="Times New Roman"/>
          <w:sz w:val="24"/>
          <w:szCs w:val="24"/>
        </w:rPr>
        <w:t>无故障时点击该按进行扫频，有故障时点击该键进行故障复位；</w:t>
      </w:r>
    </w:p>
    <w:p>
      <w:pPr>
        <w:pStyle w:val="4"/>
        <w:spacing w:line="360" w:lineRule="auto"/>
        <w:ind w:left="-540" w:leftChars="-257" w:firstLine="54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OK/SET：</w:t>
      </w:r>
      <w:r>
        <w:rPr>
          <w:rFonts w:hint="eastAsia" w:ascii="Times New Roman" w:hAnsi="Times New Roman"/>
          <w:sz w:val="24"/>
          <w:szCs w:val="24"/>
        </w:rPr>
        <w:tab/>
      </w:r>
      <w:r>
        <w:rPr>
          <w:rFonts w:hint="eastAsia" w:ascii="Times New Roman" w:hAnsi="Times New Roman"/>
          <w:sz w:val="24"/>
          <w:szCs w:val="24"/>
        </w:rPr>
        <w:tab/>
      </w:r>
      <w:r>
        <w:rPr>
          <w:rFonts w:hint="eastAsia" w:ascii="Times New Roman" w:hAnsi="Times New Roman"/>
          <w:sz w:val="24"/>
          <w:szCs w:val="24"/>
        </w:rPr>
        <w:t>点击该键进入参数设置界面；</w:t>
      </w:r>
    </w:p>
    <w:p>
      <w:pPr>
        <w:pStyle w:val="4"/>
        <w:spacing w:line="360" w:lineRule="auto"/>
        <w:ind w:left="-540" w:leftChars="-257" w:firstLine="54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右键/TEST：</w:t>
      </w:r>
      <w:r>
        <w:rPr>
          <w:rFonts w:hint="eastAsia" w:ascii="Times New Roman" w:hAnsi="Times New Roman"/>
          <w:sz w:val="24"/>
          <w:szCs w:val="24"/>
        </w:rPr>
        <w:tab/>
      </w:r>
      <w:r>
        <w:rPr>
          <w:rFonts w:hint="eastAsia" w:ascii="Times New Roman" w:hAnsi="Times New Roman"/>
          <w:sz w:val="24"/>
          <w:szCs w:val="24"/>
        </w:rPr>
        <w:t>按下该键超声波运行，松开按键停止超声；</w:t>
      </w:r>
    </w:p>
    <w:p>
      <w:pPr>
        <w:pStyle w:val="4"/>
        <w:spacing w:line="360" w:lineRule="auto"/>
        <w:ind w:left="-540" w:leftChars="-257" w:firstLine="54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上键：点击该键进行幅值增加，步进5，最大到100%；</w:t>
      </w:r>
    </w:p>
    <w:p>
      <w:pPr>
        <w:pStyle w:val="4"/>
        <w:spacing w:line="360" w:lineRule="auto"/>
        <w:ind w:left="-540" w:leftChars="-257" w:firstLine="540"/>
        <w:rPr>
          <w:rFonts w:hAnsi="宋体" w:cs="Arial"/>
          <w:b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下键：点击该键进行幅值减少，步进5，最小到5%。</w:t>
      </w:r>
    </w:p>
    <w:p>
      <w:pPr>
        <w:spacing w:line="360" w:lineRule="auto"/>
        <w:outlineLvl w:val="0"/>
        <w:rPr>
          <w:rFonts w:ascii="黑体" w:hAnsi="宋体" w:eastAsia="黑体"/>
          <w:sz w:val="36"/>
          <w:szCs w:val="36"/>
        </w:rPr>
      </w:pPr>
    </w:p>
    <w:p>
      <w:pPr>
        <w:pStyle w:val="4"/>
        <w:spacing w:line="360" w:lineRule="auto"/>
        <w:ind w:left="-540" w:leftChars="-257" w:firstLine="54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电源背面DF</w:t>
      </w:r>
      <w:r>
        <w:rPr>
          <w:rFonts w:hint="eastAsia"/>
          <w:color w:val="000000"/>
          <w:sz w:val="24"/>
          <w:szCs w:val="24"/>
        </w:rPr>
        <w:t>30-6航空插头，其中6个脚的定义为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566"/>
        <w:gridCol w:w="1567"/>
        <w:gridCol w:w="1567"/>
        <w:gridCol w:w="1567"/>
        <w:gridCol w:w="1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1脚</w:t>
            </w:r>
          </w:p>
        </w:tc>
        <w:tc>
          <w:tcPr>
            <w:tcW w:w="156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2脚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3脚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4脚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5脚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换能器正极</w:t>
            </w:r>
          </w:p>
        </w:tc>
        <w:tc>
          <w:tcPr>
            <w:tcW w:w="1566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换能器负极</w:t>
            </w:r>
          </w:p>
        </w:tc>
        <w:tc>
          <w:tcPr>
            <w:tcW w:w="3134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开关量启动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12V正极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12V负极</w:t>
            </w:r>
          </w:p>
        </w:tc>
      </w:tr>
    </w:tbl>
    <w:p>
      <w:pPr>
        <w:pStyle w:val="4"/>
        <w:spacing w:line="360" w:lineRule="auto"/>
        <w:ind w:left="-540" w:leftChars="-257" w:firstLine="540"/>
        <w:rPr>
          <w:sz w:val="24"/>
          <w:szCs w:val="24"/>
        </w:rPr>
      </w:pPr>
    </w:p>
    <w:p>
      <w:pPr>
        <w:pStyle w:val="4"/>
        <w:spacing w:line="360" w:lineRule="auto"/>
        <w:ind w:left="-540" w:leftChars="-257" w:firstLine="54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电源背面DF</w:t>
      </w:r>
      <w:r>
        <w:rPr>
          <w:rFonts w:hint="eastAsia"/>
          <w:color w:val="000000"/>
          <w:sz w:val="24"/>
          <w:szCs w:val="24"/>
        </w:rPr>
        <w:t>10-4航空插头，其中4个脚的定义为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1、2脚</w:t>
            </w:r>
          </w:p>
        </w:tc>
        <w:tc>
          <w:tcPr>
            <w:tcW w:w="3260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3、4脚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超声启停开关量</w:t>
            </w:r>
          </w:p>
        </w:tc>
        <w:tc>
          <w:tcPr>
            <w:tcW w:w="3260" w:type="dxa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报警输出接口</w:t>
            </w:r>
          </w:p>
        </w:tc>
      </w:tr>
    </w:tbl>
    <w:p>
      <w:pPr>
        <w:jc w:val="center"/>
        <w:rPr>
          <w:rFonts w:ascii="黑体" w:eastAsia="黑体"/>
          <w:szCs w:val="21"/>
        </w:rPr>
      </w:pPr>
    </w:p>
    <w:p>
      <w:pPr>
        <w:spacing w:line="360" w:lineRule="auto"/>
        <w:outlineLvl w:val="0"/>
        <w:rPr>
          <w:bCs/>
          <w:sz w:val="24"/>
        </w:rPr>
      </w:pPr>
      <w:r>
        <w:rPr>
          <w:rFonts w:hint="eastAsia"/>
          <w:b/>
          <w:bCs/>
          <w:sz w:val="30"/>
          <w:szCs w:val="30"/>
        </w:rPr>
        <w:t>五、操作步骤</w:t>
      </w:r>
    </w:p>
    <w:p>
      <w:pPr>
        <w:spacing w:line="276" w:lineRule="auto"/>
        <w:outlineLvl w:val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.1.确认连接缝纫机芯主机航空插头与驱动电源背后的插座连接正确，旋紧</w:t>
      </w:r>
    </w:p>
    <w:p>
      <w:pPr>
        <w:spacing w:line="276" w:lineRule="auto"/>
        <w:outlineLvl w:val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航空插头螺帽。</w:t>
      </w:r>
    </w:p>
    <w:p>
      <w:pPr>
        <w:spacing w:line="276" w:lineRule="auto"/>
        <w:outlineLvl w:val="0"/>
        <w:rPr>
          <w:bCs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.2.将外接所需控制线路连接到驱动电源背后的信号控制接口。</w:t>
      </w:r>
    </w:p>
    <w:p>
      <w:pPr>
        <w:spacing w:line="276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.3. 当主机与电源连接正确后，打开电源开关（液晶屏下部按钮），屏幕亮起后，此时按面板</w:t>
      </w:r>
      <w:r>
        <w:rPr>
          <w:rFonts w:hint="eastAsia" w:ascii="宋体" w:hAnsi="宋体"/>
          <w:b/>
          <w:sz w:val="24"/>
        </w:rPr>
        <w:t>SWEEP</w:t>
      </w:r>
      <w:r>
        <w:rPr>
          <w:rFonts w:hint="eastAsia" w:ascii="宋体" w:hAnsi="宋体"/>
          <w:sz w:val="24"/>
        </w:rPr>
        <w:t>开关，超声设备自动搜频，搜频完成后会显示谐振频率等参数。当频率锁定变为搜频成功后如图显示（图1</w:t>
      </w:r>
      <w:r>
        <w:rPr>
          <w:rFonts w:ascii="宋体" w:hAnsi="宋体"/>
          <w:sz w:val="24"/>
        </w:rPr>
        <w:t>）</w:t>
      </w:r>
      <w:r>
        <w:rPr>
          <w:rFonts w:hint="eastAsia" w:ascii="宋体" w:hAnsi="宋体"/>
          <w:sz w:val="24"/>
        </w:rPr>
        <w:t>。 （超声波设备是谐振工作的，因此只有在频率锁定后，才能确保正常工作）</w:t>
      </w:r>
    </w:p>
    <w:p>
      <w:pPr>
        <w:spacing w:line="276" w:lineRule="auto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 xml:space="preserve">.4. </w:t>
      </w:r>
      <w:r>
        <w:rPr>
          <w:rFonts w:ascii="宋体" w:hAnsi="宋体"/>
          <w:b/>
          <w:sz w:val="24"/>
        </w:rPr>
        <w:t>TEST</w:t>
      </w:r>
      <w:r>
        <w:rPr>
          <w:rFonts w:hint="eastAsia" w:ascii="宋体" w:hAnsi="宋体"/>
          <w:sz w:val="24"/>
        </w:rPr>
        <w:t>用于客户对缝纫机芯主机进行检测，确定主机是否正常振动。按住即超声波启动，放开即超声波停止。</w:t>
      </w:r>
    </w:p>
    <w:p>
      <w:pPr>
        <w:spacing w:line="276" w:lineRule="auto"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5.5.</w:t>
      </w:r>
      <w:r>
        <w:rPr>
          <w:rFonts w:hint="eastAsia" w:ascii="宋体" w:hAnsi="宋体"/>
          <w:sz w:val="24"/>
        </w:rPr>
        <w:t>通过</w:t>
      </w:r>
      <w:r>
        <w:rPr>
          <w:rFonts w:ascii="宋体" w:hAnsi="宋体"/>
          <w:sz w:val="24"/>
        </w:rPr>
        <w:t>外接控制</w:t>
      </w:r>
      <w:r>
        <w:rPr>
          <w:rFonts w:hint="eastAsia" w:ascii="宋体" w:hAnsi="宋体"/>
          <w:sz w:val="24"/>
        </w:rPr>
        <w:t>,控制</w:t>
      </w:r>
      <w:r>
        <w:rPr>
          <w:rFonts w:ascii="宋体" w:hAnsi="宋体"/>
          <w:sz w:val="24"/>
        </w:rPr>
        <w:t>设备的启停</w:t>
      </w:r>
      <w:r>
        <w:rPr>
          <w:rFonts w:hint="eastAsia" w:ascii="宋体" w:hAnsi="宋体"/>
          <w:sz w:val="24"/>
        </w:rPr>
        <w:t>。</w:t>
      </w:r>
    </w:p>
    <w:p>
      <w:pPr>
        <w:spacing w:line="276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.</w:t>
      </w:r>
      <w:r>
        <w:rPr>
          <w:rFonts w:ascii="宋体" w:hAnsi="宋体"/>
          <w:sz w:val="24"/>
        </w:rPr>
        <w:t>6</w:t>
      </w:r>
      <w:r>
        <w:rPr>
          <w:rFonts w:hint="eastAsia" w:ascii="宋体" w:hAnsi="宋体"/>
          <w:sz w:val="24"/>
        </w:rPr>
        <w:t>.通过</w:t>
      </w:r>
      <w:r>
        <w:rPr>
          <w:rFonts w:ascii="宋体" w:hAnsi="宋体"/>
          <w:sz w:val="24"/>
        </w:rPr>
        <w:t>振幅百分</w:t>
      </w:r>
      <w:r>
        <w:rPr>
          <w:rFonts w:hint="eastAsia" w:ascii="宋体" w:hAnsi="宋体"/>
          <w:sz w:val="24"/>
        </w:rPr>
        <w:t>比</w:t>
      </w:r>
      <w:r>
        <w:rPr>
          <w:rFonts w:ascii="宋体" w:hAnsi="宋体"/>
          <w:sz w:val="24"/>
        </w:rPr>
        <w:t>来调节设备的振幅。</w:t>
      </w:r>
    </w:p>
    <w:p>
      <w:pPr>
        <w:pStyle w:val="2"/>
        <w:numPr>
          <w:ilvl w:val="0"/>
          <w:numId w:val="1"/>
        </w:numPr>
        <w:rPr>
          <w:sz w:val="30"/>
        </w:rPr>
      </w:pPr>
      <w:r>
        <w:rPr>
          <w:rFonts w:hint="eastAsia"/>
          <w:sz w:val="30"/>
        </w:rPr>
        <w:t>使用注意事项：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6.1</w:t>
      </w:r>
      <w:r>
        <w:rPr>
          <w:rFonts w:hint="eastAsia"/>
          <w:sz w:val="24"/>
          <w:szCs w:val="24"/>
        </w:rPr>
        <w:t>本产品的机芯部分工作时会发热，在整机设计时应给予圆盘工具头充分的冷却。冷却方式是风冷，风量越大越好。控制温升一般在45℃以下，绝对不能超过70℃。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6.2</w:t>
      </w:r>
      <w:r>
        <w:rPr>
          <w:rFonts w:hint="eastAsia"/>
          <w:sz w:val="24"/>
          <w:szCs w:val="24"/>
        </w:rPr>
        <w:t>发射头工作时的升温会导致超声波频率下降（一般下降200Hz左右），温度稳定后频率也保持稳定。驱动电源的频率会自动跟踪工具头的频率下降，并保持频率同步。所以机芯在冷机的情况下振动幅度不能达到Max，当工作一段的时间后系统就能达到状态并持续保持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/>
          <w:sz w:val="24"/>
          <w:szCs w:val="24"/>
        </w:rPr>
        <w:t>6.3超声波驱动电源与主机必须单配使用。</w:t>
      </w:r>
    </w:p>
    <w:p>
      <w:pPr>
        <w:spacing w:line="360" w:lineRule="auto"/>
        <w:rPr>
          <w:sz w:val="24"/>
          <w:szCs w:val="24"/>
        </w:rPr>
      </w:pPr>
    </w:p>
    <w:p>
      <w:pPr>
        <w:spacing w:line="276" w:lineRule="auto"/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七、常见问题</w:t>
      </w:r>
    </w:p>
    <w:tbl>
      <w:tblPr>
        <w:tblStyle w:val="8"/>
        <w:tblW w:w="9923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977"/>
        <w:gridCol w:w="4252"/>
        <w:gridCol w:w="14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故障显示</w:t>
            </w:r>
          </w:p>
        </w:tc>
        <w:tc>
          <w:tcPr>
            <w:tcW w:w="2977" w:type="dxa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故障原因</w:t>
            </w:r>
          </w:p>
        </w:tc>
        <w:tc>
          <w:tcPr>
            <w:tcW w:w="4252" w:type="dxa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解决方法</w:t>
            </w:r>
          </w:p>
        </w:tc>
        <w:tc>
          <w:tcPr>
            <w:tcW w:w="1418" w:type="dxa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无法搜频</w:t>
            </w:r>
          </w:p>
        </w:tc>
        <w:tc>
          <w:tcPr>
            <w:tcW w:w="2977" w:type="dxa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主机和电源未接通</w:t>
            </w:r>
          </w:p>
        </w:tc>
        <w:tc>
          <w:tcPr>
            <w:tcW w:w="4252" w:type="dxa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检查主机和电源连线是否断路</w:t>
            </w:r>
          </w:p>
        </w:tc>
        <w:tc>
          <w:tcPr>
            <w:tcW w:w="1418" w:type="dxa"/>
            <w:vMerge w:val="restart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若自行无法解决问题，请电话通知我公司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过载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输出功率超过设备上限</w:t>
            </w:r>
          </w:p>
        </w:tc>
        <w:tc>
          <w:tcPr>
            <w:tcW w:w="4252" w:type="dxa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减少对主机的压力；或减小振幅输出百分比</w:t>
            </w:r>
          </w:p>
        </w:tc>
        <w:tc>
          <w:tcPr>
            <w:tcW w:w="1418" w:type="dxa"/>
            <w:vMerge w:val="continue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不在范围</w:t>
            </w:r>
          </w:p>
        </w:tc>
        <w:tc>
          <w:tcPr>
            <w:tcW w:w="2977" w:type="dxa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主机频率不在电源范围内</w:t>
            </w:r>
          </w:p>
        </w:tc>
        <w:tc>
          <w:tcPr>
            <w:tcW w:w="4252" w:type="dxa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设备异常，主机航插与电源请连接完好</w:t>
            </w:r>
          </w:p>
        </w:tc>
        <w:tc>
          <w:tcPr>
            <w:tcW w:w="1418" w:type="dxa"/>
            <w:vMerge w:val="continue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效果不明显</w:t>
            </w:r>
          </w:p>
        </w:tc>
        <w:tc>
          <w:tcPr>
            <w:tcW w:w="2977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输出功率不够</w:t>
            </w:r>
          </w:p>
        </w:tc>
        <w:tc>
          <w:tcPr>
            <w:tcW w:w="4252" w:type="dxa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调大振幅百分比或者增大对主机的下压力</w:t>
            </w:r>
          </w:p>
        </w:tc>
        <w:tc>
          <w:tcPr>
            <w:tcW w:w="1418" w:type="dxa"/>
            <w:vMerge w:val="continue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注：按下液晶屏上“SWEEP”按钮，虽正常</w:t>
      </w:r>
      <w:r>
        <w:rPr>
          <w:rFonts w:ascii="宋体" w:hAnsi="宋体"/>
          <w:b/>
          <w:szCs w:val="21"/>
        </w:rPr>
        <w:t>搜频，但</w:t>
      </w:r>
      <w:r>
        <w:rPr>
          <w:rFonts w:hint="eastAsia" w:ascii="宋体" w:hAnsi="宋体"/>
          <w:b/>
          <w:szCs w:val="21"/>
        </w:rPr>
        <w:t>仍出现无法在</w:t>
      </w:r>
      <w:r>
        <w:rPr>
          <w:rFonts w:ascii="宋体" w:hAnsi="宋体"/>
          <w:b/>
          <w:szCs w:val="21"/>
        </w:rPr>
        <w:t>谐振频率</w:t>
      </w:r>
      <w:r>
        <w:rPr>
          <w:rFonts w:hint="eastAsia" w:ascii="宋体" w:hAnsi="宋体"/>
          <w:b/>
          <w:szCs w:val="21"/>
        </w:rPr>
        <w:t>工作的情况时，此时主机</w:t>
      </w:r>
      <w:r>
        <w:rPr>
          <w:rFonts w:ascii="宋体" w:hAnsi="宋体"/>
          <w:b/>
          <w:szCs w:val="21"/>
        </w:rPr>
        <w:t>损坏</w:t>
      </w:r>
      <w:r>
        <w:rPr>
          <w:rFonts w:hint="eastAsia" w:ascii="宋体" w:hAnsi="宋体"/>
          <w:b/>
          <w:szCs w:val="21"/>
        </w:rPr>
        <w:t>或者</w:t>
      </w:r>
      <w:r>
        <w:rPr>
          <w:rFonts w:ascii="宋体" w:hAnsi="宋体"/>
          <w:b/>
          <w:szCs w:val="21"/>
        </w:rPr>
        <w:t>电源损坏</w:t>
      </w:r>
      <w:r>
        <w:rPr>
          <w:rFonts w:hint="eastAsia" w:ascii="宋体" w:hAnsi="宋体"/>
          <w:b/>
          <w:szCs w:val="21"/>
        </w:rPr>
        <w:t>，应更换</w:t>
      </w:r>
      <w:r>
        <w:rPr>
          <w:rFonts w:ascii="宋体" w:hAnsi="宋体"/>
          <w:b/>
          <w:szCs w:val="21"/>
        </w:rPr>
        <w:t>损坏设备，</w:t>
      </w:r>
      <w:r>
        <w:rPr>
          <w:rFonts w:hint="eastAsia" w:ascii="宋体" w:hAnsi="宋体"/>
          <w:b/>
          <w:szCs w:val="21"/>
        </w:rPr>
        <w:t>否则极</w:t>
      </w:r>
      <w:r>
        <w:rPr>
          <w:rFonts w:ascii="宋体" w:hAnsi="宋体"/>
          <w:b/>
          <w:szCs w:val="21"/>
        </w:rPr>
        <w:t>易引起另一部分损坏</w:t>
      </w:r>
      <w:r>
        <w:rPr>
          <w:rFonts w:hint="eastAsia" w:ascii="宋体" w:hAnsi="宋体"/>
          <w:b/>
          <w:szCs w:val="21"/>
        </w:rPr>
        <w:t>。</w:t>
      </w:r>
    </w:p>
    <w:p>
      <w:pPr>
        <w:spacing w:line="360" w:lineRule="auto"/>
        <w:rPr>
          <w:sz w:val="24"/>
          <w:szCs w:val="24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134" w:right="1247" w:bottom="1134" w:left="1191" w:header="397" w:footer="45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480"/>
      <w:jc w:val="center"/>
      <w:rPr>
        <w:rFonts w:ascii="Arial" w:hAnsi="Arial" w:cs="Arial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</w:rPr>
      <w:instrText xml:space="preserve">PAGE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</w:rPr>
      <w:t>4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lang w:val="zh-CN"/>
      </w:rPr>
      <w:t xml:space="preserve"> / </w:t>
    </w: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</w:rPr>
      <w:instrText xml:space="preserve">NUMPAGES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</w:rPr>
      <w:t>6</w:t>
    </w:r>
    <w:r>
      <w:rPr>
        <w:rFonts w:ascii="Arial" w:hAnsi="Arial" w:cs="Arial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>
    <w:pPr>
      <w:pStyle w:val="6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enter" w:pos="4252"/>
        <w:tab w:val="right" w:pos="8504"/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36D0B"/>
    <w:multiLevelType w:val="multilevel"/>
    <w:tmpl w:val="61B36D0B"/>
    <w:lvl w:ilvl="0" w:tentative="0">
      <w:start w:val="6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1D69"/>
    <w:rsid w:val="00014E8F"/>
    <w:rsid w:val="000164D3"/>
    <w:rsid w:val="00016A7E"/>
    <w:rsid w:val="00031ABD"/>
    <w:rsid w:val="00065996"/>
    <w:rsid w:val="000839C3"/>
    <w:rsid w:val="000862D6"/>
    <w:rsid w:val="0008785F"/>
    <w:rsid w:val="00093A4C"/>
    <w:rsid w:val="00094B5D"/>
    <w:rsid w:val="000979DF"/>
    <w:rsid w:val="000A224D"/>
    <w:rsid w:val="000A3294"/>
    <w:rsid w:val="000C2B06"/>
    <w:rsid w:val="000C6BC5"/>
    <w:rsid w:val="000F637B"/>
    <w:rsid w:val="001109FD"/>
    <w:rsid w:val="00126F5C"/>
    <w:rsid w:val="00131E34"/>
    <w:rsid w:val="00145E42"/>
    <w:rsid w:val="001501BC"/>
    <w:rsid w:val="001504DF"/>
    <w:rsid w:val="00152B54"/>
    <w:rsid w:val="00152D31"/>
    <w:rsid w:val="0015584C"/>
    <w:rsid w:val="00157621"/>
    <w:rsid w:val="00160727"/>
    <w:rsid w:val="001655C4"/>
    <w:rsid w:val="00172A27"/>
    <w:rsid w:val="00181AE3"/>
    <w:rsid w:val="00191C80"/>
    <w:rsid w:val="0019384A"/>
    <w:rsid w:val="001A32C9"/>
    <w:rsid w:val="001A3383"/>
    <w:rsid w:val="001A6813"/>
    <w:rsid w:val="001A7B49"/>
    <w:rsid w:val="001D207B"/>
    <w:rsid w:val="001E72D3"/>
    <w:rsid w:val="001F018D"/>
    <w:rsid w:val="00200B4D"/>
    <w:rsid w:val="00201A6C"/>
    <w:rsid w:val="002270C7"/>
    <w:rsid w:val="00243B84"/>
    <w:rsid w:val="00250B4E"/>
    <w:rsid w:val="00253485"/>
    <w:rsid w:val="00255718"/>
    <w:rsid w:val="002615AF"/>
    <w:rsid w:val="002706C3"/>
    <w:rsid w:val="0027393D"/>
    <w:rsid w:val="002739EE"/>
    <w:rsid w:val="00273EF6"/>
    <w:rsid w:val="00276890"/>
    <w:rsid w:val="002838C3"/>
    <w:rsid w:val="002904DC"/>
    <w:rsid w:val="002B5BE3"/>
    <w:rsid w:val="002C0D1E"/>
    <w:rsid w:val="002D73B8"/>
    <w:rsid w:val="002E0DC8"/>
    <w:rsid w:val="002E1008"/>
    <w:rsid w:val="002F77FD"/>
    <w:rsid w:val="0030541B"/>
    <w:rsid w:val="00314E1E"/>
    <w:rsid w:val="003216B0"/>
    <w:rsid w:val="00333492"/>
    <w:rsid w:val="00342FA7"/>
    <w:rsid w:val="00345732"/>
    <w:rsid w:val="0035333D"/>
    <w:rsid w:val="00363833"/>
    <w:rsid w:val="00364FFC"/>
    <w:rsid w:val="00367312"/>
    <w:rsid w:val="0037779D"/>
    <w:rsid w:val="00385B84"/>
    <w:rsid w:val="003875C1"/>
    <w:rsid w:val="00391389"/>
    <w:rsid w:val="003A33BA"/>
    <w:rsid w:val="003A3DED"/>
    <w:rsid w:val="003B7033"/>
    <w:rsid w:val="003C1A95"/>
    <w:rsid w:val="003D2039"/>
    <w:rsid w:val="003D4E69"/>
    <w:rsid w:val="003E185F"/>
    <w:rsid w:val="003F0690"/>
    <w:rsid w:val="003F63CB"/>
    <w:rsid w:val="00401793"/>
    <w:rsid w:val="00407A34"/>
    <w:rsid w:val="00420237"/>
    <w:rsid w:val="004229C0"/>
    <w:rsid w:val="00425462"/>
    <w:rsid w:val="00426708"/>
    <w:rsid w:val="00431313"/>
    <w:rsid w:val="00434344"/>
    <w:rsid w:val="004468F9"/>
    <w:rsid w:val="00450527"/>
    <w:rsid w:val="00450B24"/>
    <w:rsid w:val="004510A6"/>
    <w:rsid w:val="004525CA"/>
    <w:rsid w:val="00457303"/>
    <w:rsid w:val="004618FA"/>
    <w:rsid w:val="00471C53"/>
    <w:rsid w:val="0047634C"/>
    <w:rsid w:val="00486D8C"/>
    <w:rsid w:val="00493574"/>
    <w:rsid w:val="00494BE1"/>
    <w:rsid w:val="00494C42"/>
    <w:rsid w:val="004A3FDE"/>
    <w:rsid w:val="004A4623"/>
    <w:rsid w:val="004A4BB6"/>
    <w:rsid w:val="004A67FA"/>
    <w:rsid w:val="004B0A66"/>
    <w:rsid w:val="004B2AE4"/>
    <w:rsid w:val="004B4B9A"/>
    <w:rsid w:val="004B6E9A"/>
    <w:rsid w:val="004B70C5"/>
    <w:rsid w:val="004D3A8A"/>
    <w:rsid w:val="004D5556"/>
    <w:rsid w:val="004E14A1"/>
    <w:rsid w:val="00510EA6"/>
    <w:rsid w:val="005111E2"/>
    <w:rsid w:val="005114E6"/>
    <w:rsid w:val="005115DD"/>
    <w:rsid w:val="005142BF"/>
    <w:rsid w:val="00521B01"/>
    <w:rsid w:val="005368FC"/>
    <w:rsid w:val="0054304B"/>
    <w:rsid w:val="005462B6"/>
    <w:rsid w:val="005552DC"/>
    <w:rsid w:val="00557F1E"/>
    <w:rsid w:val="005607A0"/>
    <w:rsid w:val="00561717"/>
    <w:rsid w:val="00565D53"/>
    <w:rsid w:val="0057053A"/>
    <w:rsid w:val="005874C2"/>
    <w:rsid w:val="00597FCE"/>
    <w:rsid w:val="005A026B"/>
    <w:rsid w:val="005A0659"/>
    <w:rsid w:val="005B0D46"/>
    <w:rsid w:val="005B4C56"/>
    <w:rsid w:val="005E07B9"/>
    <w:rsid w:val="00601EFD"/>
    <w:rsid w:val="00644C14"/>
    <w:rsid w:val="00646B15"/>
    <w:rsid w:val="00647B00"/>
    <w:rsid w:val="0068124E"/>
    <w:rsid w:val="00690C8D"/>
    <w:rsid w:val="006951CD"/>
    <w:rsid w:val="00696D09"/>
    <w:rsid w:val="006A4F47"/>
    <w:rsid w:val="006B3DAD"/>
    <w:rsid w:val="006C16A8"/>
    <w:rsid w:val="006C1E1B"/>
    <w:rsid w:val="006C3306"/>
    <w:rsid w:val="006C373B"/>
    <w:rsid w:val="006D27AF"/>
    <w:rsid w:val="006D38CD"/>
    <w:rsid w:val="006F597F"/>
    <w:rsid w:val="00701993"/>
    <w:rsid w:val="00703570"/>
    <w:rsid w:val="00711FE5"/>
    <w:rsid w:val="00712F46"/>
    <w:rsid w:val="00741589"/>
    <w:rsid w:val="00746533"/>
    <w:rsid w:val="00746F5E"/>
    <w:rsid w:val="0075575A"/>
    <w:rsid w:val="00761165"/>
    <w:rsid w:val="007622C9"/>
    <w:rsid w:val="007671F4"/>
    <w:rsid w:val="00774934"/>
    <w:rsid w:val="00781322"/>
    <w:rsid w:val="0078159C"/>
    <w:rsid w:val="0078626D"/>
    <w:rsid w:val="007A7ABB"/>
    <w:rsid w:val="007B327E"/>
    <w:rsid w:val="007C1804"/>
    <w:rsid w:val="007C331F"/>
    <w:rsid w:val="007C7849"/>
    <w:rsid w:val="007D37DA"/>
    <w:rsid w:val="007E7E3C"/>
    <w:rsid w:val="007F2055"/>
    <w:rsid w:val="00801009"/>
    <w:rsid w:val="00810996"/>
    <w:rsid w:val="008119F9"/>
    <w:rsid w:val="008253A9"/>
    <w:rsid w:val="008312CF"/>
    <w:rsid w:val="00831A68"/>
    <w:rsid w:val="00833F89"/>
    <w:rsid w:val="0086047C"/>
    <w:rsid w:val="00865A30"/>
    <w:rsid w:val="00880A52"/>
    <w:rsid w:val="00881186"/>
    <w:rsid w:val="00884FFC"/>
    <w:rsid w:val="008902C4"/>
    <w:rsid w:val="008943B4"/>
    <w:rsid w:val="008A096C"/>
    <w:rsid w:val="008A148A"/>
    <w:rsid w:val="008A3ADA"/>
    <w:rsid w:val="008A3FD8"/>
    <w:rsid w:val="008B3D47"/>
    <w:rsid w:val="008D0E9B"/>
    <w:rsid w:val="008D1541"/>
    <w:rsid w:val="008D4767"/>
    <w:rsid w:val="008E1C19"/>
    <w:rsid w:val="008E7675"/>
    <w:rsid w:val="008F6EA6"/>
    <w:rsid w:val="00905AE4"/>
    <w:rsid w:val="009115C7"/>
    <w:rsid w:val="00913F17"/>
    <w:rsid w:val="0092235C"/>
    <w:rsid w:val="009363A4"/>
    <w:rsid w:val="009372E2"/>
    <w:rsid w:val="009508C8"/>
    <w:rsid w:val="00950BEA"/>
    <w:rsid w:val="00953AF1"/>
    <w:rsid w:val="00957821"/>
    <w:rsid w:val="00977CA7"/>
    <w:rsid w:val="00980672"/>
    <w:rsid w:val="009809CE"/>
    <w:rsid w:val="009A00A5"/>
    <w:rsid w:val="009B7871"/>
    <w:rsid w:val="009C0FA8"/>
    <w:rsid w:val="009D1C5D"/>
    <w:rsid w:val="009D663B"/>
    <w:rsid w:val="009E58CC"/>
    <w:rsid w:val="00A002E1"/>
    <w:rsid w:val="00A147AD"/>
    <w:rsid w:val="00A32182"/>
    <w:rsid w:val="00A52464"/>
    <w:rsid w:val="00A56443"/>
    <w:rsid w:val="00A6394B"/>
    <w:rsid w:val="00A7068D"/>
    <w:rsid w:val="00A70F9D"/>
    <w:rsid w:val="00A714EE"/>
    <w:rsid w:val="00A759B0"/>
    <w:rsid w:val="00A763D1"/>
    <w:rsid w:val="00A82FBC"/>
    <w:rsid w:val="00AC282E"/>
    <w:rsid w:val="00AC32AF"/>
    <w:rsid w:val="00AC6078"/>
    <w:rsid w:val="00AE12E9"/>
    <w:rsid w:val="00AE2BA5"/>
    <w:rsid w:val="00AE3D0C"/>
    <w:rsid w:val="00AF3D55"/>
    <w:rsid w:val="00AF5DCA"/>
    <w:rsid w:val="00B02DFA"/>
    <w:rsid w:val="00B0513D"/>
    <w:rsid w:val="00B243DB"/>
    <w:rsid w:val="00B252CE"/>
    <w:rsid w:val="00B45E67"/>
    <w:rsid w:val="00B46DF7"/>
    <w:rsid w:val="00B53EF1"/>
    <w:rsid w:val="00B5777C"/>
    <w:rsid w:val="00B82C24"/>
    <w:rsid w:val="00B925FC"/>
    <w:rsid w:val="00BB7550"/>
    <w:rsid w:val="00BC33F7"/>
    <w:rsid w:val="00BC4B43"/>
    <w:rsid w:val="00BC574F"/>
    <w:rsid w:val="00BD66C4"/>
    <w:rsid w:val="00BE194A"/>
    <w:rsid w:val="00BE57E3"/>
    <w:rsid w:val="00C00A53"/>
    <w:rsid w:val="00C011F2"/>
    <w:rsid w:val="00C011F6"/>
    <w:rsid w:val="00C0577C"/>
    <w:rsid w:val="00C06CCB"/>
    <w:rsid w:val="00C07D8E"/>
    <w:rsid w:val="00C13758"/>
    <w:rsid w:val="00C13C19"/>
    <w:rsid w:val="00C17102"/>
    <w:rsid w:val="00C30901"/>
    <w:rsid w:val="00C33CCC"/>
    <w:rsid w:val="00C51E2D"/>
    <w:rsid w:val="00C80145"/>
    <w:rsid w:val="00C91F31"/>
    <w:rsid w:val="00CA61B4"/>
    <w:rsid w:val="00CB1126"/>
    <w:rsid w:val="00CB6A8E"/>
    <w:rsid w:val="00CE33C4"/>
    <w:rsid w:val="00CF18EE"/>
    <w:rsid w:val="00CF4D56"/>
    <w:rsid w:val="00D15A84"/>
    <w:rsid w:val="00D17173"/>
    <w:rsid w:val="00D2167A"/>
    <w:rsid w:val="00D22C24"/>
    <w:rsid w:val="00D27497"/>
    <w:rsid w:val="00D3216C"/>
    <w:rsid w:val="00D43F26"/>
    <w:rsid w:val="00D5742C"/>
    <w:rsid w:val="00D57C14"/>
    <w:rsid w:val="00D603CD"/>
    <w:rsid w:val="00D64459"/>
    <w:rsid w:val="00D96E7E"/>
    <w:rsid w:val="00DB14C4"/>
    <w:rsid w:val="00DB50D3"/>
    <w:rsid w:val="00DC4E5A"/>
    <w:rsid w:val="00DD01B8"/>
    <w:rsid w:val="00DD50DA"/>
    <w:rsid w:val="00DE289D"/>
    <w:rsid w:val="00DE2C58"/>
    <w:rsid w:val="00DE5913"/>
    <w:rsid w:val="00DF1A66"/>
    <w:rsid w:val="00E02DB9"/>
    <w:rsid w:val="00E14897"/>
    <w:rsid w:val="00E14E8D"/>
    <w:rsid w:val="00E243C8"/>
    <w:rsid w:val="00E24FDA"/>
    <w:rsid w:val="00E3193E"/>
    <w:rsid w:val="00E3439D"/>
    <w:rsid w:val="00E34934"/>
    <w:rsid w:val="00E449FE"/>
    <w:rsid w:val="00E54B5A"/>
    <w:rsid w:val="00E65205"/>
    <w:rsid w:val="00E82114"/>
    <w:rsid w:val="00E849D0"/>
    <w:rsid w:val="00E85B1C"/>
    <w:rsid w:val="00EC46B9"/>
    <w:rsid w:val="00ED28D8"/>
    <w:rsid w:val="00EE53CA"/>
    <w:rsid w:val="00EF53BB"/>
    <w:rsid w:val="00EF5878"/>
    <w:rsid w:val="00F0166C"/>
    <w:rsid w:val="00F028FA"/>
    <w:rsid w:val="00F035E6"/>
    <w:rsid w:val="00F03A28"/>
    <w:rsid w:val="00F4136B"/>
    <w:rsid w:val="00F47C9E"/>
    <w:rsid w:val="00F60928"/>
    <w:rsid w:val="00F64242"/>
    <w:rsid w:val="00F649DC"/>
    <w:rsid w:val="00F66549"/>
    <w:rsid w:val="00F85135"/>
    <w:rsid w:val="00FB35DB"/>
    <w:rsid w:val="00FC47D8"/>
    <w:rsid w:val="00FC4C1F"/>
    <w:rsid w:val="00FC6E4E"/>
    <w:rsid w:val="00FF26A9"/>
    <w:rsid w:val="00FF4C73"/>
    <w:rsid w:val="00FF4D28"/>
    <w:rsid w:val="3A83301C"/>
    <w:rsid w:val="42C0019D"/>
    <w:rsid w:val="453D6E7A"/>
    <w:rsid w:val="67D030D5"/>
    <w:rsid w:val="72B031C3"/>
    <w:rsid w:val="765D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pPr>
      <w:spacing w:line="360" w:lineRule="auto"/>
      <w:ind w:firstLine="640" w:firstLineChars="200"/>
      <w:jc w:val="center"/>
    </w:pPr>
    <w:rPr>
      <w:rFonts w:ascii="Cambria" w:hAnsi="Cambria" w:eastAsia="黑体" w:cs="宋体"/>
      <w:sz w:val="24"/>
    </w:rPr>
  </w:style>
  <w:style w:type="paragraph" w:styleId="4">
    <w:name w:val="Plain Text"/>
    <w:basedOn w:val="1"/>
    <w:link w:val="18"/>
    <w:qFormat/>
    <w:uiPriority w:val="0"/>
    <w:rPr>
      <w:rFonts w:ascii="宋体" w:hAnsi="Courier New"/>
    </w:rPr>
  </w:style>
  <w:style w:type="paragraph" w:styleId="5">
    <w:name w:val="Balloon Text"/>
    <w:basedOn w:val="1"/>
    <w:uiPriority w:val="0"/>
    <w:rPr>
      <w:sz w:val="18"/>
    </w:rPr>
  </w:style>
  <w:style w:type="paragraph" w:styleId="6">
    <w:name w:val="footer"/>
    <w:basedOn w:val="1"/>
    <w:link w:val="1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9">
    <w:name w:val="Table Grid"/>
    <w:basedOn w:val="8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uiPriority w:val="0"/>
  </w:style>
  <w:style w:type="character" w:styleId="12">
    <w:name w:val="Hyperlink"/>
    <w:basedOn w:val="10"/>
    <w:uiPriority w:val="0"/>
    <w:rPr>
      <w:color w:val="0000FF"/>
      <w:u w:val="single"/>
    </w:rPr>
  </w:style>
  <w:style w:type="paragraph" w:customStyle="1" w:styleId="13">
    <w:name w:val="正文 + 小四"/>
    <w:basedOn w:val="1"/>
    <w:uiPriority w:val="0"/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Char"/>
    <w:basedOn w:val="10"/>
    <w:link w:val="14"/>
    <w:uiPriority w:val="1"/>
    <w:rPr>
      <w:rFonts w:ascii="Calibri" w:hAnsi="Calibri"/>
      <w:sz w:val="22"/>
      <w:szCs w:val="22"/>
      <w:lang w:val="en-US" w:eastAsia="zh-CN" w:bidi="ar-SA"/>
    </w:rPr>
  </w:style>
  <w:style w:type="character" w:customStyle="1" w:styleId="16">
    <w:name w:val="页脚 Char"/>
    <w:basedOn w:val="10"/>
    <w:link w:val="6"/>
    <w:qFormat/>
    <w:uiPriority w:val="99"/>
    <w:rPr>
      <w:kern w:val="2"/>
      <w:sz w:val="18"/>
    </w:rPr>
  </w:style>
  <w:style w:type="paragraph" w:styleId="17">
    <w:name w:val="List Paragraph"/>
    <w:basedOn w:val="1"/>
    <w:qFormat/>
    <w:uiPriority w:val="34"/>
    <w:pPr>
      <w:spacing w:line="360" w:lineRule="auto"/>
      <w:ind w:firstLine="420" w:firstLineChars="200"/>
    </w:pPr>
    <w:rPr>
      <w:rFonts w:ascii="Calibri" w:hAnsi="Calibri"/>
      <w:sz w:val="24"/>
      <w:szCs w:val="22"/>
    </w:rPr>
  </w:style>
  <w:style w:type="character" w:customStyle="1" w:styleId="18">
    <w:name w:val="纯文本 Char"/>
    <w:basedOn w:val="10"/>
    <w:link w:val="4"/>
    <w:qFormat/>
    <w:uiPriority w:val="0"/>
    <w:rPr>
      <w:rFonts w:ascii="宋体" w:hAnsi="Courier New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6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029462-5CA3-4819-ACAE-2A92EE1D5C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fycg</Company>
  <Pages>6</Pages>
  <Words>1963</Words>
  <Characters>2129</Characters>
  <Lines>16</Lines>
  <Paragraphs>4</Paragraphs>
  <TotalTime>6</TotalTime>
  <ScaleCrop>false</ScaleCrop>
  <LinksUpToDate>false</LinksUpToDate>
  <CharactersWithSpaces>2192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2019-10-17T07:50:00Z</dcterms:created>
  <dc:creator>000</dc:creator>
  <cp:lastModifiedBy>成功超声13735582388</cp:lastModifiedBy>
  <cp:lastPrinted>2019-10-17T08:07:00Z</cp:lastPrinted>
  <dcterms:modified xsi:type="dcterms:W3CDTF">2021-07-14T09:20:47Z</dcterms:modified>
  <dc:subject>使用说明书</dc:subject>
  <dc:title>工业级声化学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